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B2" w:rsidRPr="001B5D49" w:rsidRDefault="00B149B2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>АДМИНИСТРАЦИЯ</w:t>
      </w:r>
    </w:p>
    <w:p w:rsidR="00B149B2" w:rsidRPr="001B5D49" w:rsidRDefault="006A3BBF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>ВОРОБЖАНСКОГО</w:t>
      </w:r>
      <w:r w:rsidR="00B149B2" w:rsidRPr="001B5D4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149B2" w:rsidRPr="001B5D49" w:rsidRDefault="00B149B2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149B2" w:rsidRPr="001B5D49" w:rsidRDefault="00B149B2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>КУРСКОЙ ОБЛАСТИ</w:t>
      </w:r>
    </w:p>
    <w:p w:rsidR="00B149B2" w:rsidRPr="001B5D49" w:rsidRDefault="00B149B2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49B2" w:rsidRPr="001B5D49" w:rsidRDefault="00B149B2" w:rsidP="001B5D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>ПОСТАНОВЛЕНИЕ</w:t>
      </w:r>
    </w:p>
    <w:p w:rsidR="003F0145" w:rsidRDefault="003F0145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1B5D49">
        <w:rPr>
          <w:rFonts w:ascii="Arial" w:hAnsi="Arial" w:cs="Arial"/>
          <w:b/>
          <w:sz w:val="32"/>
          <w:szCs w:val="32"/>
        </w:rPr>
        <w:t xml:space="preserve">от </w:t>
      </w:r>
      <w:r w:rsidR="00B34645" w:rsidRPr="001B5D49">
        <w:rPr>
          <w:rFonts w:ascii="Arial" w:hAnsi="Arial" w:cs="Arial"/>
          <w:b/>
          <w:sz w:val="32"/>
          <w:szCs w:val="32"/>
        </w:rPr>
        <w:t>16 января</w:t>
      </w:r>
      <w:r w:rsidRPr="001B5D49">
        <w:rPr>
          <w:rFonts w:ascii="Arial" w:hAnsi="Arial" w:cs="Arial"/>
          <w:b/>
          <w:sz w:val="32"/>
          <w:szCs w:val="32"/>
        </w:rPr>
        <w:t xml:space="preserve"> 201</w:t>
      </w:r>
      <w:r w:rsidR="00B34645" w:rsidRPr="001B5D49">
        <w:rPr>
          <w:rFonts w:ascii="Arial" w:hAnsi="Arial" w:cs="Arial"/>
          <w:b/>
          <w:sz w:val="32"/>
          <w:szCs w:val="32"/>
        </w:rPr>
        <w:t>7</w:t>
      </w:r>
      <w:r w:rsidR="001B5D49">
        <w:rPr>
          <w:rFonts w:ascii="Arial" w:hAnsi="Arial" w:cs="Arial"/>
          <w:b/>
          <w:sz w:val="32"/>
          <w:szCs w:val="32"/>
        </w:rPr>
        <w:t xml:space="preserve"> года №1</w:t>
      </w:r>
    </w:p>
    <w:p w:rsidR="001B5D49" w:rsidRPr="001B5D49" w:rsidRDefault="001B5D49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3F0145" w:rsidRDefault="00B34645" w:rsidP="001B5D49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1B5D49">
        <w:rPr>
          <w:rStyle w:val="a5"/>
          <w:rFonts w:ascii="Arial" w:hAnsi="Arial" w:cs="Arial"/>
          <w:sz w:val="32"/>
          <w:szCs w:val="32"/>
        </w:rPr>
        <w:t>Об утверждении порядка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</w:t>
      </w:r>
    </w:p>
    <w:p w:rsidR="001B5D49" w:rsidRPr="001B5D49" w:rsidRDefault="001B5D49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F0145" w:rsidRPr="001B5D49" w:rsidRDefault="003F0145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В соответствии со статьей 242</w:t>
      </w:r>
      <w:r w:rsidR="001B5D49">
        <w:rPr>
          <w:rFonts w:ascii="Arial" w:hAnsi="Arial" w:cs="Arial"/>
        </w:rPr>
        <w:t xml:space="preserve"> </w:t>
      </w:r>
      <w:hyperlink r:id="rId6" w:history="1">
        <w:r w:rsidRPr="001B5D49">
          <w:rPr>
            <w:rStyle w:val="a6"/>
            <w:rFonts w:ascii="Arial" w:hAnsi="Arial" w:cs="Arial"/>
            <w:color w:val="auto"/>
            <w:u w:val="none"/>
          </w:rPr>
          <w:t>Бюджетного кодекса Российской Федерации</w:t>
        </w:r>
      </w:hyperlink>
      <w:r w:rsidRPr="001B5D49">
        <w:rPr>
          <w:rFonts w:ascii="Arial" w:hAnsi="Arial" w:cs="Arial"/>
        </w:rPr>
        <w:t xml:space="preserve"> «</w:t>
      </w:r>
      <w:hyperlink r:id="rId7" w:history="1">
        <w:r w:rsidRPr="001B5D49">
          <w:rPr>
            <w:rStyle w:val="a6"/>
            <w:rFonts w:ascii="Arial" w:hAnsi="Arial" w:cs="Arial"/>
            <w:color w:val="auto"/>
            <w:u w:val="none"/>
          </w:rPr>
          <w:t>Порядка возврата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  </w:r>
      </w:hyperlink>
      <w:r w:rsidRPr="001B5D49">
        <w:rPr>
          <w:rFonts w:ascii="Arial" w:hAnsi="Arial" w:cs="Arial"/>
        </w:rPr>
        <w:t xml:space="preserve">», Администрация </w:t>
      </w:r>
      <w:r w:rsidR="006A3BBF" w:rsidRPr="001B5D49">
        <w:rPr>
          <w:rFonts w:ascii="Arial" w:hAnsi="Arial" w:cs="Arial"/>
        </w:rPr>
        <w:t>Воробжанского</w:t>
      </w:r>
      <w:r w:rsidRPr="001B5D49">
        <w:rPr>
          <w:rFonts w:ascii="Arial" w:hAnsi="Arial" w:cs="Arial"/>
        </w:rPr>
        <w:t xml:space="preserve"> сельсовета </w:t>
      </w:r>
      <w:proofErr w:type="spellStart"/>
      <w:r w:rsidRPr="001B5D49">
        <w:rPr>
          <w:rFonts w:ascii="Arial" w:hAnsi="Arial" w:cs="Arial"/>
        </w:rPr>
        <w:t>Суджанского</w:t>
      </w:r>
      <w:proofErr w:type="spellEnd"/>
      <w:r w:rsidRPr="001B5D49">
        <w:rPr>
          <w:rFonts w:ascii="Arial" w:hAnsi="Arial" w:cs="Arial"/>
        </w:rPr>
        <w:t xml:space="preserve"> района постановила:</w:t>
      </w:r>
    </w:p>
    <w:p w:rsidR="00B34645" w:rsidRPr="001B5D49" w:rsidRDefault="003F0145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1. Утвердить Порядок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 (прилагается).</w:t>
      </w:r>
    </w:p>
    <w:p w:rsidR="003F0145" w:rsidRPr="001B5D49" w:rsidRDefault="003F0145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2. </w:t>
      </w:r>
      <w:proofErr w:type="gramStart"/>
      <w:r w:rsidRPr="001B5D49">
        <w:rPr>
          <w:rFonts w:ascii="Arial" w:hAnsi="Arial" w:cs="Arial"/>
        </w:rPr>
        <w:t>Контроль за</w:t>
      </w:r>
      <w:proofErr w:type="gramEnd"/>
      <w:r w:rsidRPr="001B5D49">
        <w:rPr>
          <w:rFonts w:ascii="Arial" w:hAnsi="Arial" w:cs="Arial"/>
        </w:rPr>
        <w:t xml:space="preserve"> выполнением настоящего постановления возложить на</w:t>
      </w:r>
      <w:r w:rsidR="00B149B2" w:rsidRPr="001B5D49">
        <w:rPr>
          <w:rFonts w:ascii="Arial" w:hAnsi="Arial" w:cs="Arial"/>
        </w:rPr>
        <w:t xml:space="preserve"> </w:t>
      </w:r>
      <w:r w:rsidR="006A3BBF" w:rsidRPr="001B5D49">
        <w:rPr>
          <w:rFonts w:ascii="Arial" w:hAnsi="Arial" w:cs="Arial"/>
        </w:rPr>
        <w:t>бухгалтера</w:t>
      </w:r>
      <w:r w:rsidR="00B149B2" w:rsidRPr="001B5D49">
        <w:rPr>
          <w:rFonts w:ascii="Arial" w:hAnsi="Arial" w:cs="Arial"/>
        </w:rPr>
        <w:t xml:space="preserve"> А</w:t>
      </w:r>
      <w:r w:rsidR="00B776B2" w:rsidRPr="001B5D49">
        <w:rPr>
          <w:rFonts w:ascii="Arial" w:hAnsi="Arial" w:cs="Arial"/>
        </w:rPr>
        <w:t>д</w:t>
      </w:r>
      <w:r w:rsidRPr="001B5D49">
        <w:rPr>
          <w:rFonts w:ascii="Arial" w:hAnsi="Arial" w:cs="Arial"/>
        </w:rPr>
        <w:t xml:space="preserve">министрации </w:t>
      </w:r>
      <w:r w:rsidR="006A3BBF" w:rsidRPr="001B5D49">
        <w:rPr>
          <w:rFonts w:ascii="Arial" w:hAnsi="Arial" w:cs="Arial"/>
        </w:rPr>
        <w:t>Воробжанского</w:t>
      </w:r>
      <w:r w:rsidRPr="001B5D49">
        <w:rPr>
          <w:rFonts w:ascii="Arial" w:hAnsi="Arial" w:cs="Arial"/>
        </w:rPr>
        <w:t xml:space="preserve"> сельсовета </w:t>
      </w:r>
      <w:r w:rsidR="006A3BBF" w:rsidRPr="001B5D49">
        <w:rPr>
          <w:rFonts w:ascii="Arial" w:hAnsi="Arial" w:cs="Arial"/>
        </w:rPr>
        <w:t>Кузнецову М.В.</w:t>
      </w:r>
    </w:p>
    <w:p w:rsidR="003F0145" w:rsidRPr="001B5D49" w:rsidRDefault="003F0145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B149B2" w:rsidRPr="001B5D49" w:rsidRDefault="00B149B2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149B2" w:rsidRPr="001B5D49" w:rsidRDefault="00B149B2" w:rsidP="001B5D4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149B2" w:rsidRPr="001B5D49" w:rsidRDefault="00B149B2" w:rsidP="001B5D49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t xml:space="preserve">Глава </w:t>
      </w:r>
      <w:r w:rsidR="006A3BBF" w:rsidRPr="001B5D49">
        <w:rPr>
          <w:rFonts w:ascii="Arial" w:hAnsi="Arial" w:cs="Arial"/>
          <w:sz w:val="24"/>
          <w:szCs w:val="24"/>
        </w:rPr>
        <w:t>Воробжанского</w:t>
      </w:r>
      <w:r w:rsidRPr="001B5D49">
        <w:rPr>
          <w:rFonts w:ascii="Arial" w:hAnsi="Arial" w:cs="Arial"/>
          <w:sz w:val="24"/>
          <w:szCs w:val="24"/>
        </w:rPr>
        <w:t xml:space="preserve"> сельсовета</w:t>
      </w:r>
      <w:r w:rsidR="00B34645" w:rsidRPr="001B5D4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1B5D49">
        <w:rPr>
          <w:rFonts w:ascii="Arial" w:hAnsi="Arial" w:cs="Arial"/>
          <w:sz w:val="24"/>
          <w:szCs w:val="24"/>
        </w:rPr>
        <w:t>В.</w:t>
      </w:r>
      <w:r w:rsidR="006A3BBF" w:rsidRPr="001B5D49">
        <w:rPr>
          <w:rFonts w:ascii="Arial" w:hAnsi="Arial" w:cs="Arial"/>
          <w:sz w:val="24"/>
          <w:szCs w:val="24"/>
        </w:rPr>
        <w:t>М.Гусев</w:t>
      </w:r>
    </w:p>
    <w:p w:rsidR="00B149B2" w:rsidRPr="001B5D49" w:rsidRDefault="00B149B2" w:rsidP="001B5D4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F0145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P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B34645" w:rsidRPr="001B5D49" w:rsidRDefault="00B346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B34645" w:rsidRDefault="00B346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P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3F0145" w:rsidRPr="001B5D49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B149B2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B5D49" w:rsidRDefault="00B149B2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t>Постановлением</w:t>
      </w:r>
    </w:p>
    <w:p w:rsidR="00B149B2" w:rsidRPr="001B5D49" w:rsidRDefault="00B149B2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t>А</w:t>
      </w:r>
      <w:r w:rsidR="003F0145" w:rsidRPr="001B5D49">
        <w:rPr>
          <w:rFonts w:ascii="Arial" w:hAnsi="Arial" w:cs="Arial"/>
          <w:sz w:val="24"/>
          <w:szCs w:val="24"/>
        </w:rPr>
        <w:t xml:space="preserve">дминистрации </w:t>
      </w:r>
      <w:r w:rsidR="006A3BBF" w:rsidRPr="001B5D49">
        <w:rPr>
          <w:rFonts w:ascii="Arial" w:hAnsi="Arial" w:cs="Arial"/>
          <w:sz w:val="24"/>
          <w:szCs w:val="24"/>
        </w:rPr>
        <w:t>Воробжанского</w:t>
      </w:r>
      <w:r w:rsidR="003F0145" w:rsidRPr="001B5D49">
        <w:rPr>
          <w:rFonts w:ascii="Arial" w:hAnsi="Arial" w:cs="Arial"/>
          <w:sz w:val="24"/>
          <w:szCs w:val="24"/>
        </w:rPr>
        <w:t xml:space="preserve"> сельсовета</w:t>
      </w:r>
    </w:p>
    <w:p w:rsidR="00B149B2" w:rsidRPr="001B5D49" w:rsidRDefault="003F0145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1B5D4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B5D49">
        <w:rPr>
          <w:rFonts w:ascii="Arial" w:hAnsi="Arial" w:cs="Arial"/>
          <w:sz w:val="24"/>
          <w:szCs w:val="24"/>
        </w:rPr>
        <w:t xml:space="preserve"> района</w:t>
      </w:r>
    </w:p>
    <w:p w:rsidR="001B5D49" w:rsidRDefault="00B149B2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t>Курской области</w:t>
      </w:r>
    </w:p>
    <w:p w:rsidR="00B34645" w:rsidRDefault="003F0145" w:rsidP="001B5D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B5D49">
        <w:rPr>
          <w:rFonts w:ascii="Arial" w:hAnsi="Arial" w:cs="Arial"/>
          <w:sz w:val="24"/>
          <w:szCs w:val="24"/>
        </w:rPr>
        <w:t xml:space="preserve">от </w:t>
      </w:r>
      <w:r w:rsidR="00B34645" w:rsidRPr="001B5D49">
        <w:rPr>
          <w:rFonts w:ascii="Arial" w:hAnsi="Arial" w:cs="Arial"/>
          <w:sz w:val="24"/>
          <w:szCs w:val="24"/>
        </w:rPr>
        <w:t>16.01.</w:t>
      </w:r>
      <w:r w:rsidRPr="001B5D49">
        <w:rPr>
          <w:rFonts w:ascii="Arial" w:hAnsi="Arial" w:cs="Arial"/>
          <w:sz w:val="24"/>
          <w:szCs w:val="24"/>
        </w:rPr>
        <w:t>201</w:t>
      </w:r>
      <w:r w:rsidR="00B34645" w:rsidRPr="001B5D49">
        <w:rPr>
          <w:rFonts w:ascii="Arial" w:hAnsi="Arial" w:cs="Arial"/>
          <w:sz w:val="24"/>
          <w:szCs w:val="24"/>
        </w:rPr>
        <w:t>7</w:t>
      </w:r>
      <w:r w:rsidRPr="001B5D49">
        <w:rPr>
          <w:rFonts w:ascii="Arial" w:hAnsi="Arial" w:cs="Arial"/>
          <w:sz w:val="24"/>
          <w:szCs w:val="24"/>
        </w:rPr>
        <w:t xml:space="preserve">г. N </w:t>
      </w:r>
      <w:r w:rsidR="001B5D49">
        <w:rPr>
          <w:rFonts w:ascii="Arial" w:hAnsi="Arial" w:cs="Arial"/>
          <w:sz w:val="24"/>
          <w:szCs w:val="24"/>
        </w:rPr>
        <w:t>1</w:t>
      </w:r>
    </w:p>
    <w:p w:rsidR="001B5D49" w:rsidRPr="001B5D49" w:rsidRDefault="001B5D49" w:rsidP="001B5D49">
      <w:pPr>
        <w:pStyle w:val="a3"/>
        <w:jc w:val="right"/>
        <w:rPr>
          <w:rStyle w:val="a5"/>
          <w:rFonts w:ascii="Arial" w:hAnsi="Arial" w:cs="Arial"/>
          <w:sz w:val="24"/>
          <w:szCs w:val="24"/>
        </w:rPr>
      </w:pPr>
    </w:p>
    <w:p w:rsidR="003F0145" w:rsidRPr="001B5D49" w:rsidRDefault="003F0145" w:rsidP="001B5D49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1B5D49">
        <w:rPr>
          <w:rStyle w:val="a5"/>
          <w:rFonts w:ascii="Arial" w:hAnsi="Arial" w:cs="Arial"/>
        </w:rPr>
        <w:t>Порядок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</w:t>
      </w:r>
    </w:p>
    <w:p w:rsidR="00B34645" w:rsidRPr="001B5D49" w:rsidRDefault="00B34645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3F0145" w:rsidRPr="001B5D49" w:rsidRDefault="003F0145" w:rsidP="001B5D49">
      <w:pPr>
        <w:pStyle w:val="3"/>
        <w:numPr>
          <w:ilvl w:val="0"/>
          <w:numId w:val="1"/>
        </w:numPr>
        <w:spacing w:before="0" w:line="240" w:lineRule="auto"/>
        <w:ind w:left="0"/>
        <w:jc w:val="center"/>
        <w:rPr>
          <w:rFonts w:ascii="Arial" w:hAnsi="Arial" w:cs="Arial"/>
          <w:color w:val="auto"/>
          <w:sz w:val="24"/>
          <w:szCs w:val="24"/>
        </w:rPr>
      </w:pPr>
      <w:r w:rsidRPr="001B5D49">
        <w:rPr>
          <w:rFonts w:ascii="Arial" w:hAnsi="Arial" w:cs="Arial"/>
          <w:color w:val="auto"/>
          <w:sz w:val="24"/>
          <w:szCs w:val="24"/>
        </w:rPr>
        <w:t>Общие положения</w:t>
      </w:r>
    </w:p>
    <w:p w:rsidR="00B34645" w:rsidRPr="001B5D49" w:rsidRDefault="00B34645" w:rsidP="001B5D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6B2" w:rsidRP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1. </w:t>
      </w:r>
      <w:proofErr w:type="gramStart"/>
      <w:r w:rsidRPr="001B5D49">
        <w:rPr>
          <w:rFonts w:ascii="Arial" w:hAnsi="Arial" w:cs="Arial"/>
        </w:rPr>
        <w:t>Настоящий Порядок разработан в соответствии со статьей 242</w:t>
      </w:r>
      <w:r w:rsidR="001B5D49">
        <w:rPr>
          <w:rFonts w:ascii="Arial" w:hAnsi="Arial" w:cs="Arial"/>
        </w:rPr>
        <w:t xml:space="preserve"> </w:t>
      </w:r>
      <w:hyperlink r:id="rId8" w:history="1">
        <w:r w:rsidRPr="001B5D49">
          <w:rPr>
            <w:rStyle w:val="a6"/>
            <w:rFonts w:ascii="Arial" w:hAnsi="Arial" w:cs="Arial"/>
            <w:color w:val="auto"/>
            <w:u w:val="none"/>
          </w:rPr>
          <w:t>Бюджетного кодекса Российской Федерации</w:t>
        </w:r>
      </w:hyperlink>
      <w:r w:rsidRPr="001B5D49">
        <w:rPr>
          <w:rFonts w:ascii="Arial" w:hAnsi="Arial" w:cs="Arial"/>
        </w:rPr>
        <w:t>,</w:t>
      </w:r>
      <w:r w:rsidR="001B5D49">
        <w:rPr>
          <w:rFonts w:ascii="Arial" w:hAnsi="Arial" w:cs="Arial"/>
        </w:rPr>
        <w:t xml:space="preserve"> </w:t>
      </w:r>
      <w:hyperlink r:id="rId9" w:history="1">
        <w:r w:rsidRPr="001B5D49">
          <w:rPr>
            <w:rStyle w:val="a6"/>
            <w:rFonts w:ascii="Arial" w:hAnsi="Arial" w:cs="Arial"/>
            <w:color w:val="auto"/>
            <w:u w:val="none"/>
          </w:rPr>
          <w:t>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  </w:r>
      </w:hyperlink>
      <w:r w:rsidRPr="001B5D49">
        <w:rPr>
          <w:rFonts w:ascii="Arial" w:hAnsi="Arial" w:cs="Arial"/>
        </w:rPr>
        <w:t>, утвержденными</w:t>
      </w:r>
      <w:r w:rsidR="001B5D49">
        <w:rPr>
          <w:rFonts w:ascii="Arial" w:hAnsi="Arial" w:cs="Arial"/>
        </w:rPr>
        <w:t xml:space="preserve"> </w:t>
      </w:r>
      <w:hyperlink r:id="rId10" w:history="1">
        <w:r w:rsidRPr="001B5D49">
          <w:rPr>
            <w:rStyle w:val="a6"/>
            <w:rFonts w:ascii="Arial" w:hAnsi="Arial" w:cs="Arial"/>
            <w:color w:val="auto"/>
            <w:u w:val="none"/>
          </w:rPr>
          <w:t>приказом Министерства финансов Российской Федерации от 11 июня 2009 года N 51н</w:t>
        </w:r>
      </w:hyperlink>
      <w:r w:rsidRPr="001B5D49">
        <w:rPr>
          <w:rFonts w:ascii="Arial" w:hAnsi="Arial" w:cs="Arial"/>
        </w:rPr>
        <w:t>, (далее - Общие требования), и устанавливает сроки, порядок возврата в доход областного</w:t>
      </w:r>
      <w:proofErr w:type="gramEnd"/>
      <w:r w:rsidRPr="001B5D49">
        <w:rPr>
          <w:rFonts w:ascii="Arial" w:hAnsi="Arial" w:cs="Arial"/>
        </w:rPr>
        <w:t xml:space="preserve">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- остатки межбюджетных</w:t>
      </w:r>
      <w:r w:rsidR="00B776B2" w:rsidRP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трансфертов).</w:t>
      </w:r>
    </w:p>
    <w:p w:rsidR="00B776B2" w:rsidRP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2. Не использованные в течение текущего финансового года межбюджетные трансферты подлежат возврату органами местного самоуправления в областной бюджет при осуществлении в полном объеме расходов, источником финансового обеспечения которых являются межбюджетные трансферты, в соответствии с целями и условиями их предоставления на основании приказов главных администраторов средств областного бюджета, администрирующих соответствующие межбюджетные трансферты. Указанные приказы принимаются по результатам анализа отчетов об использовании межбюджетных трансфертов, предоставленных муниципальным образованиям, в течение одного месяца со дня представления указанных отчетов и направляются в Департамент финансов области в течение 2 рабочих дней со дня принятия, но не позднее 1 декабря текущего финансового года.</w:t>
      </w:r>
    </w:p>
    <w:p w:rsid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3. </w:t>
      </w:r>
      <w:proofErr w:type="gramStart"/>
      <w:r w:rsidRPr="001B5D49">
        <w:rPr>
          <w:rFonts w:ascii="Arial" w:hAnsi="Arial" w:cs="Arial"/>
        </w:rPr>
        <w:t>Не использованные по состоянию на 1 января очередного финансового года остатки межбюджетных трансфертов подлежат возврату в областной бюджет в очередном финансовом году органами местного самоуправления, за которыми в соответствии с муниципальными правовыми актами закреплены источники доходов бюджета по возврату остатков межбюджетных трансфертов (далее - администраторы доходов местных бюджетов по возврату остатков), в следующие сроки:</w:t>
      </w:r>
      <w:proofErr w:type="gramEnd"/>
    </w:p>
    <w:p w:rsid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t>предоставленные</w:t>
      </w:r>
      <w:proofErr w:type="gramEnd"/>
      <w:r w:rsidRPr="001B5D49">
        <w:rPr>
          <w:rFonts w:ascii="Arial" w:hAnsi="Arial" w:cs="Arial"/>
        </w:rPr>
        <w:t xml:space="preserve"> за счет средств федерального бюджета - в течение первых 10 рабочих дней текущего финансового года;</w:t>
      </w:r>
    </w:p>
    <w:p w:rsidR="00B776B2" w:rsidRP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t>предоставленные</w:t>
      </w:r>
      <w:proofErr w:type="gramEnd"/>
      <w:r w:rsidRPr="001B5D49">
        <w:rPr>
          <w:rFonts w:ascii="Arial" w:hAnsi="Arial" w:cs="Arial"/>
        </w:rPr>
        <w:t xml:space="preserve"> за счет средств областного бюджета - в течение первых 15 рабочих дней текущего финансового года.</w:t>
      </w:r>
    </w:p>
    <w:p w:rsidR="00B776B2" w:rsidRP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Получателями средств от возврата остатков межбюджетных трансфертов являются главные администраторы доходов областного бюджета, за которыми в соответствии с законом об областном бюджете на текущий финансовый год и плановый период закреплены источники доходов областного </w:t>
      </w:r>
      <w:r w:rsidRPr="001B5D49">
        <w:rPr>
          <w:rFonts w:ascii="Arial" w:hAnsi="Arial" w:cs="Arial"/>
        </w:rPr>
        <w:lastRenderedPageBreak/>
        <w:t>бюджета от возврата остатков межбюджетных трансфертов (далее - главные администраторы доходов областного бюджета от возврата остатков).</w:t>
      </w:r>
    </w:p>
    <w:p w:rsidR="003F0145" w:rsidRPr="001B5D49" w:rsidRDefault="003F01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4. В случае если остатки межбюджетных трансфертов не перечислены в доход областного бюджета в сроки, установленные пунктом 3 настоящего Порядка, Департамент финансов области осуществляет их взыскание в областной бюджет с учетом Общих требований.</w:t>
      </w:r>
    </w:p>
    <w:p w:rsidR="00B34645" w:rsidRPr="001B5D49" w:rsidRDefault="00B34645" w:rsidP="001B5D4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3F0145" w:rsidRPr="001B5D49" w:rsidRDefault="003F0145" w:rsidP="001B5D49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Style w:val="a5"/>
          <w:rFonts w:ascii="Arial" w:hAnsi="Arial" w:cs="Arial"/>
        </w:rPr>
      </w:pPr>
      <w:r w:rsidRPr="001B5D49">
        <w:rPr>
          <w:rStyle w:val="a5"/>
          <w:rFonts w:ascii="Arial" w:hAnsi="Arial" w:cs="Arial"/>
        </w:rPr>
        <w:t>Порядок возврата в областной бюджет остатков межбюджетных трансфертов в очередном финансовом году</w:t>
      </w:r>
    </w:p>
    <w:p w:rsidR="00B34645" w:rsidRPr="001B5D49" w:rsidRDefault="00B346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776B2" w:rsidRP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5. В целях осуществления возврата остатков межбюджетных трансфертов решением о бюджете на текущий финансовый год и плановый период за соответствующим главным администратором доходов местного бюджета должны быть закреплены источники доходов местного бюджета по возврату остатков соответствующих межбюджетных трансфертов.</w:t>
      </w:r>
    </w:p>
    <w:p w:rsid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Главные администраторы доходов местных бюджетов по возврату остатков обеспечивают утверждение правовых актов, закрепляющих полномочия администратора доходов местного бюджета по возврату остатков за собой или за подведомственными им администраторами доходов бюджета, с указанием соответствующего </w:t>
      </w:r>
      <w:proofErr w:type="gramStart"/>
      <w:r w:rsidRPr="001B5D49">
        <w:rPr>
          <w:rFonts w:ascii="Arial" w:hAnsi="Arial" w:cs="Arial"/>
        </w:rPr>
        <w:t>кода классификации доходов бюджетов Российской Федерации</w:t>
      </w:r>
      <w:proofErr w:type="gramEnd"/>
      <w:r w:rsidRPr="001B5D49">
        <w:rPr>
          <w:rFonts w:ascii="Arial" w:hAnsi="Arial" w:cs="Arial"/>
        </w:rPr>
        <w:t xml:space="preserve"> и доведение их до Управления Федерального казначейства по Курской области.</w:t>
      </w:r>
      <w:r w:rsidR="001B5D49">
        <w:rPr>
          <w:rFonts w:ascii="Arial" w:hAnsi="Arial" w:cs="Arial"/>
        </w:rPr>
        <w:t xml:space="preserve"> </w:t>
      </w:r>
    </w:p>
    <w:p w:rsidR="00B776B2" w:rsidRP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Главные администраторы доходов областного бюджета от возврата остатков обеспечивают утверждение правовых актов, закрепляющих полномочия администратора доходов областного бюджета от возврата остатков </w:t>
      </w:r>
      <w:proofErr w:type="gramStart"/>
      <w:r w:rsidRPr="001B5D49">
        <w:rPr>
          <w:rFonts w:ascii="Arial" w:hAnsi="Arial" w:cs="Arial"/>
        </w:rPr>
        <w:t>целевых средств за собой или за подведомственными им администраторами доходов бюджета, с указанием соответствующего кода классификации доходов бюджетов Российской Федерации и доведение их до Управления Федерального казначейства по Курской области, а также доведение не позднее последнего рабочего дня текущего финансового года до соответствующих администраторов доходов местного бюджета по возврату остатков реквизитов, необходимых для осуществления возврата остатков целевых средств в доход</w:t>
      </w:r>
      <w:proofErr w:type="gramEnd"/>
      <w:r w:rsidRPr="001B5D49">
        <w:rPr>
          <w:rFonts w:ascii="Arial" w:hAnsi="Arial" w:cs="Arial"/>
        </w:rPr>
        <w:t xml:space="preserve"> областного бюджета.</w:t>
      </w:r>
    </w:p>
    <w:p w:rsid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6. </w:t>
      </w:r>
      <w:proofErr w:type="gramStart"/>
      <w:r w:rsidRPr="001B5D49">
        <w:rPr>
          <w:rFonts w:ascii="Arial" w:hAnsi="Arial" w:cs="Arial"/>
        </w:rPr>
        <w:t>Возврат остатков межбюджетных трансфертов в областной бюджет осуществляется Управлением Федерального казначейства по Курской области в соответствии с положениями</w:t>
      </w:r>
      <w:r w:rsidR="001B5D49">
        <w:rPr>
          <w:rFonts w:ascii="Arial" w:hAnsi="Arial" w:cs="Arial"/>
        </w:rPr>
        <w:t xml:space="preserve"> </w:t>
      </w:r>
      <w:hyperlink r:id="rId11" w:history="1">
        <w:r w:rsidRPr="001B5D49">
          <w:rPr>
            <w:rStyle w:val="a6"/>
            <w:rFonts w:ascii="Arial" w:hAnsi="Arial" w:cs="Arial"/>
            <w:color w:val="auto"/>
            <w:u w:val="none"/>
          </w:rPr>
          <w:t>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  </w:r>
      </w:hyperlink>
      <w:r w:rsidRPr="001B5D49">
        <w:rPr>
          <w:rFonts w:ascii="Arial" w:hAnsi="Arial" w:cs="Arial"/>
        </w:rPr>
        <w:t>, утвержденного</w:t>
      </w:r>
      <w:r w:rsidR="001B5D49">
        <w:rPr>
          <w:rFonts w:ascii="Arial" w:hAnsi="Arial" w:cs="Arial"/>
        </w:rPr>
        <w:t xml:space="preserve"> </w:t>
      </w:r>
      <w:hyperlink r:id="rId12" w:history="1">
        <w:r w:rsidRPr="001B5D49">
          <w:rPr>
            <w:rStyle w:val="a6"/>
            <w:rFonts w:ascii="Arial" w:hAnsi="Arial" w:cs="Arial"/>
            <w:color w:val="auto"/>
            <w:u w:val="none"/>
          </w:rPr>
          <w:t>приказом Министерства финансов Российской Федерации от 18 декабря 2013 года N 125н</w:t>
        </w:r>
      </w:hyperlink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(далее - Приказ N 125н), на основании представленной администратором доходов местного</w:t>
      </w:r>
      <w:proofErr w:type="gramEnd"/>
      <w:r w:rsidRPr="001B5D49">
        <w:rPr>
          <w:rFonts w:ascii="Arial" w:hAnsi="Arial" w:cs="Arial"/>
        </w:rPr>
        <w:t xml:space="preserve"> бюджета по возврату остатков Заявки на возврат (код формы по КФД 0531803) (далее - Заявка на возврат).</w:t>
      </w:r>
    </w:p>
    <w:p w:rsid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t>Оформление Заявки на возврат осуществляется на основании Уведомления по расчетам между бюджетами (код формы по ОКУД 0504817) (приложение N 2 к</w:t>
      </w:r>
      <w:r w:rsidR="001B5D49">
        <w:rPr>
          <w:rFonts w:ascii="Arial" w:hAnsi="Arial" w:cs="Arial"/>
        </w:rPr>
        <w:t xml:space="preserve"> </w:t>
      </w:r>
      <w:hyperlink r:id="rId13" w:history="1">
        <w:r w:rsidRPr="001B5D49">
          <w:rPr>
            <w:rStyle w:val="a6"/>
            <w:rFonts w:ascii="Arial" w:hAnsi="Arial" w:cs="Arial"/>
            <w:color w:val="auto"/>
            <w:u w:val="none"/>
          </w:rPr>
          <w:t>приказу Министерства финансов Российской Федерации от 15 декабря 2010 года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  </w:r>
        <w:proofErr w:type="gramEnd"/>
        <w:r w:rsidRPr="001B5D49">
          <w:rPr>
            <w:rStyle w:val="a6"/>
            <w:rFonts w:ascii="Arial" w:hAnsi="Arial" w:cs="Arial"/>
            <w:color w:val="auto"/>
            <w:u w:val="none"/>
          </w:rPr>
          <w:t xml:space="preserve"> и Методических указаний по их применению"</w:t>
        </w:r>
      </w:hyperlink>
      <w:r w:rsidRPr="001B5D49">
        <w:rPr>
          <w:rFonts w:ascii="Arial" w:hAnsi="Arial" w:cs="Arial"/>
        </w:rPr>
        <w:t>) (далее - Уведомление) в установленном порядке.</w:t>
      </w:r>
      <w:r w:rsidR="001B5D49">
        <w:rPr>
          <w:rFonts w:ascii="Arial" w:hAnsi="Arial" w:cs="Arial"/>
        </w:rPr>
        <w:t xml:space="preserve"> </w:t>
      </w:r>
    </w:p>
    <w:p w:rsid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lastRenderedPageBreak/>
        <w:t>В целях обеспечения возврата остатков межбюджетных трансфертов главные администраторы доходов местного бюджета от возврата оформляют Уведомление в 2-х экземплярах и направляют не позднее дня, следующего за днем его подписания, главным администраторам доходов областного бюджета по возврату остатков указанных в нем межбюджетных трансфертов с одновременным направлением его заверенной копии Департаменту финансов области.</w:t>
      </w:r>
      <w:r w:rsidR="001B5D49">
        <w:rPr>
          <w:rFonts w:ascii="Arial" w:hAnsi="Arial" w:cs="Arial"/>
        </w:rPr>
        <w:t xml:space="preserve"> </w:t>
      </w:r>
      <w:proofErr w:type="gramEnd"/>
    </w:p>
    <w:p w:rsidR="003F0145" w:rsidRPr="001B5D49" w:rsidRDefault="003F0145" w:rsidP="001B5D4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5D49">
        <w:rPr>
          <w:rFonts w:ascii="Arial" w:hAnsi="Arial" w:cs="Arial"/>
        </w:rPr>
        <w:t>Возврат остатков межбюджетных трансфертов осуществляется отдельно по каждому виду межбюджетного трансферта.</w:t>
      </w: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</w:t>
      </w:r>
      <w:r w:rsidR="003F0145" w:rsidRPr="001B5D49">
        <w:rPr>
          <w:rFonts w:ascii="Arial" w:hAnsi="Arial" w:cs="Arial"/>
        </w:rPr>
        <w:t xml:space="preserve"> Порядку</w:t>
      </w:r>
    </w:p>
    <w:p w:rsidR="001B5D49" w:rsidRDefault="001B5D49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0145" w:rsidRPr="001B5D49">
        <w:rPr>
          <w:rFonts w:ascii="Arial" w:hAnsi="Arial" w:cs="Arial"/>
        </w:rPr>
        <w:t xml:space="preserve">возврата </w:t>
      </w:r>
      <w:proofErr w:type="gramStart"/>
      <w:r w:rsidR="003F0145" w:rsidRPr="001B5D49">
        <w:rPr>
          <w:rFonts w:ascii="Arial" w:hAnsi="Arial" w:cs="Arial"/>
        </w:rPr>
        <w:t>неиспользованных</w:t>
      </w:r>
      <w:proofErr w:type="gramEnd"/>
    </w:p>
    <w:p w:rsidR="001B5D49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1B5D49">
        <w:rPr>
          <w:rFonts w:ascii="Arial" w:hAnsi="Arial" w:cs="Arial"/>
        </w:rPr>
        <w:t>межбюджетных трансфертов, полученных в форме</w:t>
      </w:r>
    </w:p>
    <w:p w:rsidR="001B5D49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1B5D49">
        <w:rPr>
          <w:rFonts w:ascii="Arial" w:hAnsi="Arial" w:cs="Arial"/>
        </w:rPr>
        <w:t>субсидий, субвенций и иных межбюджетных</w:t>
      </w:r>
    </w:p>
    <w:p w:rsidR="001B5D49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1B5D49">
        <w:rPr>
          <w:rFonts w:ascii="Arial" w:hAnsi="Arial" w:cs="Arial"/>
        </w:rPr>
        <w:t>трансфертов, имеющих целевое назначение,</w:t>
      </w:r>
    </w:p>
    <w:p w:rsidR="003F0145" w:rsidRPr="001B5D49" w:rsidRDefault="003F0145" w:rsidP="001B5D4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t>предоставленных</w:t>
      </w:r>
      <w:proofErr w:type="gramEnd"/>
      <w:r w:rsidRPr="001B5D49">
        <w:rPr>
          <w:rFonts w:ascii="Arial" w:hAnsi="Arial" w:cs="Arial"/>
        </w:rPr>
        <w:t xml:space="preserve"> из областного бюджета</w:t>
      </w:r>
    </w:p>
    <w:p w:rsidR="001B5D49" w:rsidRDefault="001B5D49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1B5D49" w:rsidRDefault="003F0145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УВЕДОМЛЕНИЕ </w:t>
      </w:r>
    </w:p>
    <w:p w:rsidR="001B5D49" w:rsidRDefault="003F0145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1B5D49">
        <w:rPr>
          <w:rFonts w:ascii="Arial" w:hAnsi="Arial" w:cs="Arial"/>
        </w:rPr>
        <w:t>по расчетам между бюджетами</w:t>
      </w:r>
    </w:p>
    <w:p w:rsidR="003F0145" w:rsidRDefault="003F0145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1B5D49">
        <w:rPr>
          <w:rFonts w:ascii="Arial" w:hAnsi="Arial" w:cs="Arial"/>
        </w:rPr>
        <w:t>от "__"__________ 20__ г.</w:t>
      </w:r>
    </w:p>
    <w:p w:rsidR="001B5D49" w:rsidRPr="001B5D49" w:rsidRDefault="001B5D49" w:rsidP="001B5D4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Глава по БК _________________________________</w:t>
      </w:r>
      <w:r w:rsidR="001B5D49">
        <w:rPr>
          <w:rFonts w:ascii="Arial" w:hAnsi="Arial" w:cs="Arial"/>
        </w:rPr>
        <w:t>______________________</w:t>
      </w:r>
    </w:p>
    <w:p w:rsidR="003F0145" w:rsidRP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От кого: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по ОКАТО ___________________________</w:t>
      </w:r>
      <w:r w:rsidR="001B5D49">
        <w:rPr>
          <w:rFonts w:ascii="Arial" w:hAnsi="Arial" w:cs="Arial"/>
        </w:rPr>
        <w:t>______________________</w:t>
      </w:r>
    </w:p>
    <w:p w:rsid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Главный администратор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доходов бюджета __________________</w:t>
      </w:r>
      <w:r w:rsidR="001B5D49">
        <w:rPr>
          <w:rFonts w:ascii="Arial" w:hAnsi="Arial" w:cs="Arial"/>
        </w:rPr>
        <w:t>___________</w:t>
      </w:r>
    </w:p>
    <w:p w:rsid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Наименование бюджета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___________________________</w:t>
      </w:r>
      <w:r w:rsidR="001B5D49">
        <w:rPr>
          <w:rFonts w:ascii="Arial" w:hAnsi="Arial" w:cs="Arial"/>
        </w:rPr>
        <w:t>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Глава по БК</w:t>
      </w:r>
      <w:r w:rsidR="001B5D49">
        <w:rPr>
          <w:rFonts w:ascii="Arial" w:hAnsi="Arial" w:cs="Arial"/>
        </w:rPr>
        <w:t xml:space="preserve"> ________________________________________________________</w:t>
      </w:r>
    </w:p>
    <w:p w:rsidR="001B5D49" w:rsidRDefault="001B5D49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3F0145" w:rsidRPr="001B5D49">
        <w:rPr>
          <w:rFonts w:ascii="Arial" w:hAnsi="Arial" w:cs="Arial"/>
        </w:rPr>
        <w:t>ому:</w:t>
      </w:r>
      <w:r>
        <w:rPr>
          <w:rFonts w:ascii="Arial" w:hAnsi="Arial" w:cs="Arial"/>
        </w:rPr>
        <w:t xml:space="preserve"> </w:t>
      </w:r>
      <w:r w:rsidR="003F0145" w:rsidRPr="001B5D49">
        <w:rPr>
          <w:rFonts w:ascii="Arial" w:hAnsi="Arial" w:cs="Arial"/>
        </w:rPr>
        <w:t>по ОКАТО _________________________________</w:t>
      </w:r>
      <w:r>
        <w:rPr>
          <w:rFonts w:ascii="Arial" w:hAnsi="Arial" w:cs="Arial"/>
        </w:rPr>
        <w:t>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Главный администратор доходов бюджета</w:t>
      </w:r>
      <w:r w:rsidR="001B5D49">
        <w:rPr>
          <w:rFonts w:ascii="Arial" w:hAnsi="Arial" w:cs="Arial"/>
        </w:rPr>
        <w:t xml:space="preserve"> ______________________________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Целевая статья по БК__________</w:t>
      </w:r>
      <w:r w:rsidR="001B5D49">
        <w:rPr>
          <w:rFonts w:ascii="Arial" w:hAnsi="Arial" w:cs="Arial"/>
        </w:rPr>
        <w:t>________________________________</w:t>
      </w:r>
      <w:r w:rsidRPr="001B5D49">
        <w:rPr>
          <w:rFonts w:ascii="Arial" w:hAnsi="Arial" w:cs="Arial"/>
        </w:rPr>
        <w:t>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Наименование бюджета по ОКЕИ</w:t>
      </w:r>
      <w:r w:rsidR="001B5D49">
        <w:rPr>
          <w:rFonts w:ascii="Arial" w:hAnsi="Arial" w:cs="Arial"/>
        </w:rPr>
        <w:t>_____________</w:t>
      </w:r>
      <w:r w:rsidRPr="001B5D49">
        <w:rPr>
          <w:rFonts w:ascii="Arial" w:hAnsi="Arial" w:cs="Arial"/>
        </w:rPr>
        <w:t>_________________________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Наименование межбюджетного трансферта</w:t>
      </w:r>
      <w:r w:rsidR="001B5D49">
        <w:rPr>
          <w:rFonts w:ascii="Arial" w:hAnsi="Arial" w:cs="Arial"/>
        </w:rPr>
        <w:t xml:space="preserve"> _____________________________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Единица измерения: руб.</w:t>
      </w:r>
      <w:r w:rsidR="001B5D49">
        <w:rPr>
          <w:rFonts w:ascii="Arial" w:hAnsi="Arial" w:cs="Arial"/>
        </w:rPr>
        <w:t>_____________________________________________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 xml:space="preserve">Настоящим уведомляем, что в соответствии </w:t>
      </w:r>
      <w:proofErr w:type="gramStart"/>
      <w:r w:rsidRPr="001B5D49">
        <w:rPr>
          <w:rFonts w:ascii="Arial" w:hAnsi="Arial" w:cs="Arial"/>
        </w:rPr>
        <w:t>с</w:t>
      </w:r>
      <w:proofErr w:type="gramEnd"/>
      <w:r w:rsidRPr="001B5D49">
        <w:rPr>
          <w:rFonts w:ascii="Arial" w:hAnsi="Arial" w:cs="Arial"/>
        </w:rPr>
        <w:t xml:space="preserve"> ____________________________</w:t>
      </w:r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proofErr w:type="gramStart"/>
      <w:r w:rsidRPr="001B5D49">
        <w:rPr>
          <w:rFonts w:ascii="Arial" w:hAnsi="Arial" w:cs="Arial"/>
        </w:rPr>
        <w:t>(наименование, дата и номер акта (документа)____________________________</w:t>
      </w:r>
      <w:proofErr w:type="gramEnd"/>
    </w:p>
    <w:p w:rsid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1. ___________________________________</w:t>
      </w:r>
      <w:r w:rsidR="001B5D49">
        <w:rPr>
          <w:rFonts w:ascii="Arial" w:hAnsi="Arial" w:cs="Arial"/>
        </w:rPr>
        <w:t xml:space="preserve">_____________________________ </w:t>
      </w:r>
      <w:r w:rsidRPr="001B5D49">
        <w:rPr>
          <w:rFonts w:ascii="Arial" w:hAnsi="Arial" w:cs="Arial"/>
        </w:rPr>
        <w:t>(неиспользованный остаток подлежит возврату/предусмотрено предоставление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(изменение) межбюджетного трансферта/зачтено расходов (уменьшений),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подтвержденных документами)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в сумме _____ руб. ____ коп.</w:t>
      </w:r>
      <w:proofErr w:type="gramStart"/>
      <w:r w:rsidRPr="001B5D49">
        <w:rPr>
          <w:rFonts w:ascii="Arial" w:hAnsi="Arial" w:cs="Arial"/>
        </w:rPr>
        <w:t>;(</w:t>
      </w:r>
      <w:proofErr w:type="gramEnd"/>
      <w:r w:rsidRPr="001B5D49">
        <w:rPr>
          <w:rFonts w:ascii="Arial" w:hAnsi="Arial" w:cs="Arial"/>
        </w:rPr>
        <w:t>сумма прописью)</w:t>
      </w:r>
    </w:p>
    <w:p w:rsidR="00235DE6" w:rsidRDefault="00235DE6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</w:p>
    <w:p w:rsidR="00B34645" w:rsidRPr="001B5D49" w:rsidRDefault="003F0145" w:rsidP="001B5D49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2.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потребность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в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неиспользованном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остатке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межбюджетного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трансферта,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имеющего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целевое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назначение, в очередном финансовом году подтверждается в</w:t>
      </w:r>
      <w:r w:rsidR="001B5D49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 xml:space="preserve">сумме </w:t>
      </w:r>
    </w:p>
    <w:p w:rsidR="00B34645" w:rsidRPr="001B5D49" w:rsidRDefault="00B34645" w:rsidP="001B5D49">
      <w:pPr>
        <w:pStyle w:val="a4"/>
        <w:spacing w:before="0" w:beforeAutospacing="0" w:after="0" w:afterAutospacing="0"/>
        <w:rPr>
          <w:rFonts w:ascii="Arial" w:hAnsi="Arial" w:cs="Arial"/>
        </w:rPr>
        <w:sectPr w:rsidR="00B34645" w:rsidRPr="001B5D49" w:rsidSect="001B5D4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964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2126"/>
        <w:gridCol w:w="1701"/>
        <w:gridCol w:w="1843"/>
        <w:gridCol w:w="1842"/>
      </w:tblGrid>
      <w:tr w:rsidR="00B34645" w:rsidRPr="001B5D49" w:rsidTr="00B34645">
        <w:trPr>
          <w:tblCellSpacing w:w="0" w:type="dxa"/>
          <w:jc w:val="center"/>
        </w:trPr>
        <w:tc>
          <w:tcPr>
            <w:tcW w:w="2137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lastRenderedPageBreak/>
              <w:t>Код по бюджетной классификации бюджета, предоставляющего межбюджетный трансферт</w:t>
            </w:r>
          </w:p>
        </w:tc>
        <w:tc>
          <w:tcPr>
            <w:tcW w:w="2126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Неиспользованный остаток межбюджетного трансферта, подлежащий возврату</w:t>
            </w:r>
          </w:p>
        </w:tc>
        <w:tc>
          <w:tcPr>
            <w:tcW w:w="1701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Утверждено бюджетных назначений на 20__ год</w:t>
            </w:r>
          </w:p>
        </w:tc>
        <w:tc>
          <w:tcPr>
            <w:tcW w:w="1843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Расходы, подтвержденные документами</w:t>
            </w:r>
          </w:p>
        </w:tc>
        <w:tc>
          <w:tcPr>
            <w:tcW w:w="1842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Код по классификации доходов бюджета, получающего межбюджетный трансферт</w:t>
            </w:r>
          </w:p>
        </w:tc>
      </w:tr>
      <w:tr w:rsidR="00B34645" w:rsidRPr="001B5D49" w:rsidTr="00B34645">
        <w:trPr>
          <w:tblCellSpacing w:w="0" w:type="dxa"/>
          <w:jc w:val="center"/>
        </w:trPr>
        <w:tc>
          <w:tcPr>
            <w:tcW w:w="2137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5</w:t>
            </w:r>
          </w:p>
        </w:tc>
      </w:tr>
      <w:tr w:rsidR="00B34645" w:rsidRPr="001B5D49" w:rsidTr="00B34645">
        <w:trPr>
          <w:tblCellSpacing w:w="0" w:type="dxa"/>
          <w:jc w:val="center"/>
        </w:trPr>
        <w:tc>
          <w:tcPr>
            <w:tcW w:w="2137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B34645" w:rsidRPr="001B5D49" w:rsidTr="00B34645">
        <w:trPr>
          <w:tblCellSpacing w:w="0" w:type="dxa"/>
          <w:jc w:val="center"/>
        </w:trPr>
        <w:tc>
          <w:tcPr>
            <w:tcW w:w="2137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B34645" w:rsidRPr="001B5D49" w:rsidTr="00B34645">
        <w:trPr>
          <w:tblCellSpacing w:w="0" w:type="dxa"/>
          <w:jc w:val="center"/>
        </w:trPr>
        <w:tc>
          <w:tcPr>
            <w:tcW w:w="9649" w:type="dxa"/>
            <w:gridSpan w:val="5"/>
            <w:hideMark/>
          </w:tcPr>
          <w:p w:rsidR="00B34645" w:rsidRPr="001B5D49" w:rsidRDefault="00B34645" w:rsidP="00235DE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Всего</w:t>
            </w:r>
          </w:p>
        </w:tc>
      </w:tr>
    </w:tbl>
    <w:p w:rsidR="00B34645" w:rsidRPr="001B5D49" w:rsidRDefault="00B346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</w:p>
    <w:tbl>
      <w:tblPr>
        <w:tblW w:w="86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6369"/>
      </w:tblGrid>
      <w:tr w:rsidR="00B34645" w:rsidRPr="001B5D49" w:rsidTr="00B34645">
        <w:trPr>
          <w:tblCellSpacing w:w="0" w:type="dxa"/>
        </w:trPr>
        <w:tc>
          <w:tcPr>
            <w:tcW w:w="8647" w:type="dxa"/>
            <w:gridSpan w:val="2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Неиспользованный остаток межбюджетного трансферта</w:t>
            </w:r>
          </w:p>
        </w:tc>
      </w:tr>
      <w:tr w:rsidR="00B34645" w:rsidRPr="001B5D49" w:rsidTr="00B34645">
        <w:trPr>
          <w:tblCellSpacing w:w="0" w:type="dxa"/>
        </w:trPr>
        <w:tc>
          <w:tcPr>
            <w:tcW w:w="2278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на 1 января 20__ г.</w:t>
            </w:r>
          </w:p>
        </w:tc>
        <w:tc>
          <w:tcPr>
            <w:tcW w:w="6369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1B5D49">
              <w:rPr>
                <w:rFonts w:ascii="Arial" w:hAnsi="Arial" w:cs="Arial"/>
              </w:rPr>
              <w:t>потребность</w:t>
            </w:r>
            <w:proofErr w:type="gramEnd"/>
            <w:r w:rsidRPr="001B5D49">
              <w:rPr>
                <w:rFonts w:ascii="Arial" w:hAnsi="Arial" w:cs="Arial"/>
              </w:rPr>
              <w:t xml:space="preserve"> в котором подтверждена</w:t>
            </w:r>
          </w:p>
        </w:tc>
      </w:tr>
      <w:tr w:rsidR="00B34645" w:rsidRPr="001B5D49" w:rsidTr="00B34645">
        <w:trPr>
          <w:tblCellSpacing w:w="0" w:type="dxa"/>
        </w:trPr>
        <w:tc>
          <w:tcPr>
            <w:tcW w:w="2278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6</w:t>
            </w:r>
          </w:p>
        </w:tc>
        <w:tc>
          <w:tcPr>
            <w:tcW w:w="6369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7</w:t>
            </w:r>
          </w:p>
        </w:tc>
      </w:tr>
      <w:tr w:rsidR="00B34645" w:rsidRPr="001B5D49" w:rsidTr="00B34645">
        <w:trPr>
          <w:tblCellSpacing w:w="0" w:type="dxa"/>
        </w:trPr>
        <w:tc>
          <w:tcPr>
            <w:tcW w:w="2278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6369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B34645" w:rsidRPr="001B5D49" w:rsidTr="00B34645">
        <w:trPr>
          <w:tblCellSpacing w:w="0" w:type="dxa"/>
        </w:trPr>
        <w:tc>
          <w:tcPr>
            <w:tcW w:w="2278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6369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B34645" w:rsidRPr="001B5D49" w:rsidTr="00B34645">
        <w:trPr>
          <w:tblCellSpacing w:w="0" w:type="dxa"/>
        </w:trPr>
        <w:tc>
          <w:tcPr>
            <w:tcW w:w="2278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6369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</w:tbl>
    <w:p w:rsidR="00B34645" w:rsidRPr="001B5D49" w:rsidRDefault="00B346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F0145" w:rsidRP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СПРАВОЧНО: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72"/>
        <w:gridCol w:w="1602"/>
        <w:gridCol w:w="1625"/>
        <w:gridCol w:w="1729"/>
      </w:tblGrid>
      <w:tr w:rsidR="003F0145" w:rsidRPr="001B5D49" w:rsidTr="003F0145">
        <w:trPr>
          <w:tblCellSpacing w:w="0" w:type="dxa"/>
        </w:trPr>
        <w:tc>
          <w:tcPr>
            <w:tcW w:w="6240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3F0145" w:rsidRPr="001B5D49" w:rsidTr="003F0145">
        <w:trPr>
          <w:tblCellSpacing w:w="0" w:type="dxa"/>
        </w:trPr>
        <w:tc>
          <w:tcPr>
            <w:tcW w:w="6240" w:type="dxa"/>
            <w:hideMark/>
          </w:tcPr>
          <w:p w:rsidR="00B34645" w:rsidRPr="001B5D49" w:rsidRDefault="00B346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Всего с начала финансового года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  <w:tr w:rsidR="003F0145" w:rsidRPr="001B5D49" w:rsidTr="003F0145">
        <w:trPr>
          <w:tblCellSpacing w:w="0" w:type="dxa"/>
        </w:trPr>
        <w:tc>
          <w:tcPr>
            <w:tcW w:w="6240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из них остатки прошлых лет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  <w:tc>
          <w:tcPr>
            <w:tcW w:w="2775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1B5D49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3000" w:type="dxa"/>
            <w:hideMark/>
          </w:tcPr>
          <w:p w:rsidR="003F0145" w:rsidRPr="001B5D49" w:rsidRDefault="003F0145" w:rsidP="001B5D4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1B5D49">
              <w:rPr>
                <w:rFonts w:ascii="Arial" w:hAnsi="Arial" w:cs="Arial"/>
              </w:rPr>
              <w:t> </w:t>
            </w:r>
          </w:p>
        </w:tc>
      </w:tr>
    </w:tbl>
    <w:p w:rsidR="003F0145" w:rsidRP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35DE6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Руководитель</w:t>
      </w:r>
      <w:r w:rsidR="00235DE6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и главный бухгалтер</w:t>
      </w:r>
    </w:p>
    <w:p w:rsidR="00235DE6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(подпись) (расшифровка</w:t>
      </w:r>
      <w:r w:rsidR="00235DE6">
        <w:rPr>
          <w:rFonts w:ascii="Arial" w:hAnsi="Arial" w:cs="Arial"/>
        </w:rPr>
        <w:t xml:space="preserve"> </w:t>
      </w:r>
      <w:r w:rsidRPr="001B5D49">
        <w:rPr>
          <w:rFonts w:ascii="Arial" w:hAnsi="Arial" w:cs="Arial"/>
        </w:rPr>
        <w:t>(подпись) (расшифровка</w:t>
      </w:r>
      <w:r w:rsidR="00235DE6">
        <w:rPr>
          <w:rFonts w:ascii="Arial" w:hAnsi="Arial" w:cs="Arial"/>
        </w:rPr>
        <w:t>)</w:t>
      </w:r>
    </w:p>
    <w:p w:rsidR="003F0145" w:rsidRPr="001B5D49" w:rsidRDefault="003F0145" w:rsidP="001B5D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5D49">
        <w:rPr>
          <w:rFonts w:ascii="Arial" w:hAnsi="Arial" w:cs="Arial"/>
        </w:rPr>
        <w:t>"__"____________ 201_ г.</w:t>
      </w:r>
    </w:p>
    <w:p w:rsidR="00280C48" w:rsidRPr="001B5D49" w:rsidRDefault="00280C48" w:rsidP="001B5D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0C48" w:rsidRPr="001B5D49" w:rsidSect="001B5D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5036"/>
    <w:multiLevelType w:val="hybridMultilevel"/>
    <w:tmpl w:val="FA3A42EC"/>
    <w:lvl w:ilvl="0" w:tplc="A82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77B"/>
    <w:rsid w:val="001B50ED"/>
    <w:rsid w:val="001B5D49"/>
    <w:rsid w:val="00235DE6"/>
    <w:rsid w:val="0024077B"/>
    <w:rsid w:val="00280C48"/>
    <w:rsid w:val="002A4802"/>
    <w:rsid w:val="002C37CD"/>
    <w:rsid w:val="00321F94"/>
    <w:rsid w:val="003F0145"/>
    <w:rsid w:val="003F72EC"/>
    <w:rsid w:val="00481C01"/>
    <w:rsid w:val="004D47C8"/>
    <w:rsid w:val="005A567F"/>
    <w:rsid w:val="005F1BF3"/>
    <w:rsid w:val="00631876"/>
    <w:rsid w:val="006646A2"/>
    <w:rsid w:val="006A3BBF"/>
    <w:rsid w:val="006E5733"/>
    <w:rsid w:val="00874576"/>
    <w:rsid w:val="00922717"/>
    <w:rsid w:val="00A14B69"/>
    <w:rsid w:val="00A33108"/>
    <w:rsid w:val="00AD6201"/>
    <w:rsid w:val="00AE6BFC"/>
    <w:rsid w:val="00B149B2"/>
    <w:rsid w:val="00B34645"/>
    <w:rsid w:val="00B776B2"/>
    <w:rsid w:val="00B77951"/>
    <w:rsid w:val="00D54C8E"/>
    <w:rsid w:val="00F235A0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76"/>
  </w:style>
  <w:style w:type="paragraph" w:styleId="2">
    <w:name w:val="heading 2"/>
    <w:basedOn w:val="a"/>
    <w:link w:val="20"/>
    <w:uiPriority w:val="9"/>
    <w:qFormat/>
    <w:rsid w:val="00240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7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46A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F01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F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145"/>
    <w:rPr>
      <w:b/>
      <w:bCs/>
    </w:rPr>
  </w:style>
  <w:style w:type="character" w:styleId="a6">
    <w:name w:val="Hyperlink"/>
    <w:basedOn w:val="a0"/>
    <w:uiPriority w:val="99"/>
    <w:semiHidden/>
    <w:unhideWhenUsed/>
    <w:rsid w:val="003F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225284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64277" TargetMode="External"/><Relationship Id="rId12" Type="http://schemas.openxmlformats.org/officeDocument/2006/relationships/hyperlink" Target="http://docs.cntd.ru/document/499067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990671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64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42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CB41-D8FF-4D27-9178-7AFA952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2017-01-30T11:25:00Z</cp:lastPrinted>
  <dcterms:created xsi:type="dcterms:W3CDTF">2016-12-04T13:22:00Z</dcterms:created>
  <dcterms:modified xsi:type="dcterms:W3CDTF">2017-02-07T07:46:00Z</dcterms:modified>
</cp:coreProperties>
</file>