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EA" w:rsidRDefault="001D61EA" w:rsidP="001D61EA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 xml:space="preserve">БЮДЖЕТ ДЛЯ ГРАЖДАН к решению Собрания депутатов </w:t>
      </w:r>
      <w:proofErr w:type="spellStart"/>
      <w:r>
        <w:rPr>
          <w:rFonts w:ascii="Arial" w:hAnsi="Arial" w:cs="Arial"/>
          <w:color w:val="555555"/>
          <w:spacing w:val="-11"/>
          <w:sz w:val="22"/>
          <w:szCs w:val="22"/>
        </w:rPr>
        <w:t>Воробжанского</w:t>
      </w:r>
      <w:proofErr w:type="spellEnd"/>
      <w:r>
        <w:rPr>
          <w:rFonts w:ascii="Arial" w:hAnsi="Arial" w:cs="Arial"/>
          <w:color w:val="555555"/>
          <w:spacing w:val="-11"/>
          <w:sz w:val="22"/>
          <w:szCs w:val="22"/>
        </w:rPr>
        <w:t xml:space="preserve"> сельсовета «Об утверждении отчета об исполнении бюджета </w:t>
      </w:r>
      <w:proofErr w:type="spellStart"/>
      <w:r>
        <w:rPr>
          <w:rFonts w:ascii="Arial" w:hAnsi="Arial" w:cs="Arial"/>
          <w:color w:val="555555"/>
          <w:spacing w:val="-11"/>
          <w:sz w:val="22"/>
          <w:szCs w:val="22"/>
        </w:rPr>
        <w:t>Воробжанского</w:t>
      </w:r>
      <w:proofErr w:type="spellEnd"/>
      <w:r>
        <w:rPr>
          <w:rFonts w:ascii="Arial" w:hAnsi="Arial" w:cs="Arial"/>
          <w:color w:val="555555"/>
          <w:spacing w:val="-11"/>
          <w:sz w:val="22"/>
          <w:szCs w:val="22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pacing w:val="-11"/>
          <w:sz w:val="22"/>
          <w:szCs w:val="22"/>
        </w:rPr>
        <w:t>Суджанского</w:t>
      </w:r>
      <w:proofErr w:type="spellEnd"/>
      <w:r>
        <w:rPr>
          <w:rFonts w:ascii="Arial" w:hAnsi="Arial" w:cs="Arial"/>
          <w:color w:val="555555"/>
          <w:spacing w:val="-11"/>
          <w:sz w:val="22"/>
          <w:szCs w:val="22"/>
        </w:rPr>
        <w:t xml:space="preserve"> района Курской области за 2017 год».</w:t>
      </w:r>
    </w:p>
    <w:p w:rsidR="001D61EA" w:rsidRDefault="001D61EA" w:rsidP="001D61EA">
      <w:pPr>
        <w:pStyle w:val="aa"/>
        <w:shd w:val="clear" w:color="auto" w:fill="FFFFFF"/>
        <w:spacing w:after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БЮДЖЕТ ДЛЯ ГРАЖДАН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br/>
        <w:t xml:space="preserve">к решению Собрания депутатов </w:t>
      </w:r>
      <w:proofErr w:type="spellStart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br/>
        <w:t>«Об утверждении отчета об исполнении бюджета  </w:t>
      </w:r>
      <w:proofErr w:type="spellStart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района Курской области за 2017 год».</w:t>
      </w:r>
    </w:p>
    <w:p w:rsidR="001D61EA" w:rsidRDefault="001D61EA" w:rsidP="001D61EA">
      <w:pPr>
        <w:pStyle w:val="aa"/>
        <w:shd w:val="clear" w:color="auto" w:fill="FFFFFF"/>
        <w:spacing w:after="0" w:line="210" w:lineRule="atLeast"/>
        <w:ind w:firstLine="1134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В целях реализации принципа прозрачности, открытости бюджета и информирования жителей о расходовании средств бюджета разработан «Бюджет для граждан» по исполнению бюджета за 2017 год. Данная информация позволит гражданам составить представление об источниках формирования доходов бюджета </w:t>
      </w:r>
      <w:proofErr w:type="spellStart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сельсовета, направлениях расходования бюджетных средств  в  2017 году и сделать выводы об эффективности использования бюджетных средств. Мы надеемся на заинтересованное внимание жителей села </w:t>
      </w:r>
      <w:proofErr w:type="spellStart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Воробжа</w:t>
      </w:r>
      <w:proofErr w:type="spellEnd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к процессу исполнения бюджета.</w:t>
      </w:r>
    </w:p>
    <w:p w:rsidR="001D61EA" w:rsidRDefault="001D61EA" w:rsidP="001D61EA">
      <w:pPr>
        <w:pStyle w:val="aa"/>
        <w:shd w:val="clear" w:color="auto" w:fill="FFFFFF"/>
        <w:spacing w:after="0" w:line="210" w:lineRule="atLeast"/>
        <w:ind w:firstLine="1134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Основные параметры исполнения бюджета </w:t>
      </w:r>
      <w:proofErr w:type="spellStart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Воробажнского</w:t>
      </w:r>
      <w:proofErr w:type="spellEnd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за 2017 год</w:t>
      </w:r>
    </w:p>
    <w:p w:rsidR="001D61EA" w:rsidRDefault="001D61EA" w:rsidP="001D61EA">
      <w:pPr>
        <w:pStyle w:val="aa"/>
        <w:shd w:val="clear" w:color="auto" w:fill="FFFFFF"/>
        <w:spacing w:after="0" w:line="210" w:lineRule="atLeast"/>
        <w:ind w:firstLine="1134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   тыс</w:t>
      </w:r>
      <w:proofErr w:type="gramStart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.р</w:t>
      </w:r>
      <w:proofErr w:type="gramEnd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уб.</w:t>
      </w:r>
    </w:p>
    <w:tbl>
      <w:tblPr>
        <w:tblW w:w="7524" w:type="dxa"/>
        <w:tblInd w:w="1242" w:type="dxa"/>
        <w:tblCellMar>
          <w:left w:w="0" w:type="dxa"/>
          <w:right w:w="0" w:type="dxa"/>
        </w:tblCellMar>
        <w:tblLook w:val="04A0"/>
      </w:tblPr>
      <w:tblGrid>
        <w:gridCol w:w="1980"/>
        <w:gridCol w:w="1564"/>
        <w:gridCol w:w="2040"/>
        <w:gridCol w:w="1940"/>
      </w:tblGrid>
      <w:tr w:rsidR="001D61EA" w:rsidTr="001D61EA">
        <w:trPr>
          <w:trHeight w:val="25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Показатель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textAlignment w:val="baseline"/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план</w:t>
            </w:r>
          </w:p>
          <w:p w:rsidR="001D61EA" w:rsidRDefault="001D61EA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2017 год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исполнение 2017 год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textAlignment w:val="baseline"/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%</w:t>
            </w:r>
          </w:p>
          <w:p w:rsidR="001D61EA" w:rsidRDefault="001D61EA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исполнения</w:t>
            </w:r>
          </w:p>
        </w:tc>
      </w:tr>
      <w:tr w:rsidR="001D61EA" w:rsidTr="001D61EA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2106,7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2352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111,6 %</w:t>
            </w:r>
          </w:p>
        </w:tc>
      </w:tr>
      <w:tr w:rsidR="001D61EA" w:rsidTr="001D61EA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расходы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2339,6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2157,2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92,2%</w:t>
            </w:r>
          </w:p>
        </w:tc>
      </w:tr>
      <w:tr w:rsidR="001D61EA" w:rsidTr="001D61EA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D61EA" w:rsidTr="001D61EA">
        <w:trPr>
          <w:trHeight w:val="25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дефицит (</w:t>
            </w:r>
            <w:proofErr w:type="spellStart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профицит</w:t>
            </w:r>
            <w:proofErr w:type="spellEnd"/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-232,9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194,8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inherit" w:hAnsi="inherit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1D61EA" w:rsidRDefault="001D61EA" w:rsidP="001D61EA">
      <w:pPr>
        <w:shd w:val="clear" w:color="auto" w:fill="FFFFFF"/>
        <w:spacing w:line="210" w:lineRule="atLeast"/>
        <w:textAlignment w:val="baseline"/>
        <w:rPr>
          <w:rFonts w:ascii="Times New Roman" w:hAnsi="Times New Roman" w:cs="Times New Roman"/>
          <w:color w:val="555555"/>
          <w:sz w:val="24"/>
          <w:szCs w:val="24"/>
        </w:rPr>
      </w:pPr>
      <w:r>
        <w:rPr>
          <w:rFonts w:ascii="inherit" w:hAnsi="inherit"/>
          <w:color w:val="555555"/>
          <w:sz w:val="28"/>
          <w:szCs w:val="28"/>
          <w:bdr w:val="none" w:sz="0" w:space="0" w:color="auto" w:frame="1"/>
        </w:rPr>
        <w:t> </w:t>
      </w:r>
    </w:p>
    <w:p w:rsidR="001D61EA" w:rsidRDefault="001D61EA" w:rsidP="001D61EA">
      <w:pPr>
        <w:pStyle w:val="aa"/>
        <w:shd w:val="clear" w:color="auto" w:fill="FFFFFF"/>
        <w:spacing w:after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Налоговые и неналоговые доходы за 2017 год, тыс. руб.</w:t>
      </w:r>
    </w:p>
    <w:tbl>
      <w:tblPr>
        <w:tblW w:w="8928" w:type="dxa"/>
        <w:tblCellMar>
          <w:left w:w="0" w:type="dxa"/>
          <w:right w:w="0" w:type="dxa"/>
        </w:tblCellMar>
        <w:tblLook w:val="04A0"/>
      </w:tblPr>
      <w:tblGrid>
        <w:gridCol w:w="4137"/>
        <w:gridCol w:w="1684"/>
        <w:gridCol w:w="1484"/>
        <w:gridCol w:w="1623"/>
      </w:tblGrid>
      <w:tr w:rsidR="001D61EA" w:rsidTr="001D61EA">
        <w:trPr>
          <w:trHeight w:val="220"/>
        </w:trPr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22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22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Утверждено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22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исполнено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22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% исполнения</w:t>
            </w:r>
          </w:p>
        </w:tc>
      </w:tr>
      <w:tr w:rsidR="001D61EA" w:rsidTr="001D61EA">
        <w:trPr>
          <w:trHeight w:val="7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1380,4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1625,7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117,7</w:t>
            </w:r>
          </w:p>
        </w:tc>
      </w:tr>
      <w:tr w:rsidR="001D61EA" w:rsidTr="001D61EA">
        <w:trPr>
          <w:trHeight w:val="421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Налоги  на  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54,1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53,8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99,4</w:t>
            </w:r>
          </w:p>
        </w:tc>
      </w:tr>
      <w:tr w:rsidR="001D61EA" w:rsidTr="001D61EA">
        <w:trPr>
          <w:trHeight w:val="421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54,1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53,8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99,4</w:t>
            </w:r>
          </w:p>
        </w:tc>
      </w:tr>
      <w:tr w:rsidR="001D61EA" w:rsidTr="001D61EA">
        <w:trPr>
          <w:trHeight w:val="7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829,6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99,4</w:t>
            </w:r>
          </w:p>
        </w:tc>
      </w:tr>
      <w:tr w:rsidR="001D61EA" w:rsidTr="001D61EA">
        <w:trPr>
          <w:trHeight w:val="60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114,6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99,6</w:t>
            </w:r>
          </w:p>
        </w:tc>
      </w:tr>
      <w:tr w:rsidR="001D61EA" w:rsidTr="001D61EA">
        <w:trPr>
          <w:trHeight w:val="7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99,3</w:t>
            </w:r>
          </w:p>
        </w:tc>
      </w:tr>
      <w:tr w:rsidR="001D61EA" w:rsidTr="001D61EA">
        <w:trPr>
          <w:trHeight w:val="7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Земельный налог с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268,8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99,6</w:t>
            </w:r>
          </w:p>
        </w:tc>
      </w:tr>
      <w:tr w:rsidR="001D61EA" w:rsidTr="001D61EA">
        <w:trPr>
          <w:trHeight w:val="33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Земельный налог с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446,2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90,8</w:t>
            </w:r>
          </w:p>
        </w:tc>
      </w:tr>
      <w:tr w:rsidR="001D61EA" w:rsidTr="001D61EA">
        <w:trPr>
          <w:trHeight w:val="326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Доходы от имущества, находящегося в пользовании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491,3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700,4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142,6</w:t>
            </w:r>
          </w:p>
        </w:tc>
      </w:tr>
      <w:tr w:rsidR="001D61EA" w:rsidTr="001D61EA">
        <w:trPr>
          <w:trHeight w:val="30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Государственная пошлина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D61EA" w:rsidTr="001D61EA">
        <w:trPr>
          <w:trHeight w:val="33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27,3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1D61EA" w:rsidTr="001D61EA">
        <w:trPr>
          <w:trHeight w:val="240"/>
        </w:trPr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consplusnormal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/>
              <w:jc w:val="center"/>
              <w:textAlignment w:val="baseline"/>
            </w:pPr>
            <w:r>
              <w:rPr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</w:tbl>
    <w:p w:rsidR="001D61EA" w:rsidRDefault="001D61EA" w:rsidP="001D61EA">
      <w:pPr>
        <w:pStyle w:val="1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</w:rPr>
      </w:pPr>
      <w:r>
        <w:rPr>
          <w:b w:val="0"/>
          <w:bCs w:val="0"/>
          <w:color w:val="BDC3C7"/>
          <w:sz w:val="28"/>
          <w:szCs w:val="28"/>
          <w:bdr w:val="none" w:sz="0" w:space="0" w:color="auto" w:frame="1"/>
        </w:rPr>
        <w:t>Безвозмездные поступления в 2017 году</w:t>
      </w:r>
    </w:p>
    <w:tbl>
      <w:tblPr>
        <w:tblW w:w="9614" w:type="dxa"/>
        <w:tblCellMar>
          <w:left w:w="0" w:type="dxa"/>
          <w:right w:w="0" w:type="dxa"/>
        </w:tblCellMar>
        <w:tblLook w:val="04A0"/>
      </w:tblPr>
      <w:tblGrid>
        <w:gridCol w:w="6446"/>
        <w:gridCol w:w="1684"/>
        <w:gridCol w:w="1484"/>
      </w:tblGrid>
      <w:tr w:rsidR="001D61EA" w:rsidTr="001D61EA">
        <w:trPr>
          <w:trHeight w:val="300"/>
        </w:trPr>
        <w:tc>
          <w:tcPr>
            <w:tcW w:w="7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145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145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Утверждено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145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исполнено</w:t>
            </w:r>
          </w:p>
        </w:tc>
      </w:tr>
      <w:tr w:rsidR="001D61EA" w:rsidTr="001D61EA">
        <w:trPr>
          <w:trHeight w:val="70"/>
        </w:trPr>
        <w:tc>
          <w:tcPr>
            <w:tcW w:w="7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Безвозмездные  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726,2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726,2</w:t>
            </w:r>
          </w:p>
        </w:tc>
      </w:tr>
      <w:tr w:rsidR="001D61EA" w:rsidTr="001D61EA">
        <w:trPr>
          <w:trHeight w:val="70"/>
        </w:trPr>
        <w:tc>
          <w:tcPr>
            <w:tcW w:w="7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727,8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D61EA" w:rsidRDefault="001D61EA">
            <w:pPr>
              <w:pStyle w:val="ac"/>
              <w:spacing w:before="0" w:beforeAutospacing="0" w:after="0" w:afterAutospacing="0" w:line="70" w:lineRule="atLeast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727,8</w:t>
            </w:r>
          </w:p>
        </w:tc>
      </w:tr>
    </w:tbl>
    <w:p w:rsidR="000E7A48" w:rsidRPr="001D61EA" w:rsidRDefault="000E7A48" w:rsidP="001D61EA">
      <w:pPr>
        <w:rPr>
          <w:szCs w:val="24"/>
        </w:rPr>
      </w:pPr>
    </w:p>
    <w:sectPr w:rsidR="000E7A48" w:rsidRPr="001D61EA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D0843"/>
    <w:rsid w:val="000E7A48"/>
    <w:rsid w:val="00152F68"/>
    <w:rsid w:val="00195449"/>
    <w:rsid w:val="001A68AD"/>
    <w:rsid w:val="001D583C"/>
    <w:rsid w:val="001D61EA"/>
    <w:rsid w:val="002C32B8"/>
    <w:rsid w:val="003068F1"/>
    <w:rsid w:val="0033695C"/>
    <w:rsid w:val="003B6D34"/>
    <w:rsid w:val="003D0E52"/>
    <w:rsid w:val="005160BD"/>
    <w:rsid w:val="00562AA7"/>
    <w:rsid w:val="00576F4C"/>
    <w:rsid w:val="005D4B81"/>
    <w:rsid w:val="005F6949"/>
    <w:rsid w:val="006626FE"/>
    <w:rsid w:val="006F1B9C"/>
    <w:rsid w:val="007B49F6"/>
    <w:rsid w:val="0080481A"/>
    <w:rsid w:val="00863B9D"/>
    <w:rsid w:val="008C5452"/>
    <w:rsid w:val="008E172D"/>
    <w:rsid w:val="00902FE7"/>
    <w:rsid w:val="009358AB"/>
    <w:rsid w:val="00954768"/>
    <w:rsid w:val="00964E1F"/>
    <w:rsid w:val="009951E8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D61E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D61EA"/>
  </w:style>
  <w:style w:type="paragraph" w:styleId="ac">
    <w:name w:val="No Spacing"/>
    <w:basedOn w:val="a"/>
    <w:uiPriority w:val="1"/>
    <w:qFormat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D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6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300</Words>
  <Characters>1711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52</cp:revision>
  <dcterms:created xsi:type="dcterms:W3CDTF">2017-02-07T07:48:00Z</dcterms:created>
  <dcterms:modified xsi:type="dcterms:W3CDTF">2024-03-03T17:56:00Z</dcterms:modified>
</cp:coreProperties>
</file>