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1" w:rsidRPr="00516D51" w:rsidRDefault="00434C80" w:rsidP="00516D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ОТЧЕТ</w:t>
      </w:r>
      <w:r w:rsidR="00516D51" w:rsidRPr="00516D51">
        <w:rPr>
          <w:rFonts w:ascii="Times New Roman" w:hAnsi="Times New Roman"/>
          <w:b/>
          <w:bCs/>
        </w:rPr>
        <w:t xml:space="preserve">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 xml:space="preserve">в Администрации </w:t>
      </w:r>
      <w:proofErr w:type="spellStart"/>
      <w:r w:rsidRPr="00516D51">
        <w:rPr>
          <w:rFonts w:ascii="Times New Roman" w:hAnsi="Times New Roman"/>
          <w:b/>
        </w:rPr>
        <w:t>Воробжанского</w:t>
      </w:r>
      <w:proofErr w:type="spellEnd"/>
      <w:r w:rsidRPr="00516D51">
        <w:rPr>
          <w:rFonts w:ascii="Times New Roman" w:hAnsi="Times New Roman"/>
          <w:b/>
        </w:rPr>
        <w:t xml:space="preserve"> сельсовета </w:t>
      </w:r>
      <w:proofErr w:type="spellStart"/>
      <w:r w:rsidRPr="00516D51">
        <w:rPr>
          <w:rFonts w:ascii="Times New Roman" w:hAnsi="Times New Roman"/>
          <w:b/>
        </w:rPr>
        <w:t>Суджанского</w:t>
      </w:r>
      <w:proofErr w:type="spellEnd"/>
      <w:r w:rsidRPr="00516D51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 xml:space="preserve">за </w:t>
      </w:r>
      <w:r w:rsidR="00B67575">
        <w:rPr>
          <w:rFonts w:ascii="Times New Roman" w:hAnsi="Times New Roman"/>
          <w:b/>
        </w:rPr>
        <w:t xml:space="preserve">1 квартал </w:t>
      </w:r>
      <w:r w:rsidRPr="00516D51">
        <w:rPr>
          <w:rFonts w:ascii="Times New Roman" w:hAnsi="Times New Roman"/>
          <w:b/>
        </w:rPr>
        <w:t>202</w:t>
      </w:r>
      <w:r w:rsidR="00B67575">
        <w:rPr>
          <w:rFonts w:ascii="Times New Roman" w:hAnsi="Times New Roman"/>
          <w:b/>
        </w:rPr>
        <w:t>3</w:t>
      </w:r>
      <w:r w:rsidRPr="00516D51">
        <w:rPr>
          <w:rFonts w:ascii="Times New Roman" w:hAnsi="Times New Roman"/>
          <w:b/>
        </w:rPr>
        <w:t xml:space="preserve"> год</w:t>
      </w:r>
    </w:p>
    <w:p w:rsidR="00516D51" w:rsidRPr="00516D51" w:rsidRDefault="00516D51" w:rsidP="00516D51">
      <w:pPr>
        <w:jc w:val="center"/>
        <w:rPr>
          <w:rFonts w:ascii="Times New Roman" w:hAnsi="Times New Roman"/>
          <w:bCs/>
        </w:rPr>
      </w:pPr>
      <w:r w:rsidRPr="00516D51">
        <w:rPr>
          <w:rFonts w:ascii="Times New Roman" w:hAnsi="Times New Roman"/>
          <w:bCs/>
        </w:rPr>
        <w:t xml:space="preserve">(утвержден постановлением Администрации </w:t>
      </w:r>
      <w:proofErr w:type="spellStart"/>
      <w:r w:rsidRPr="00516D51">
        <w:rPr>
          <w:rFonts w:ascii="Times New Roman" w:hAnsi="Times New Roman"/>
          <w:bCs/>
        </w:rPr>
        <w:t>Воробжанского</w:t>
      </w:r>
      <w:proofErr w:type="spellEnd"/>
      <w:r w:rsidRPr="00516D51">
        <w:rPr>
          <w:rFonts w:ascii="Times New Roman" w:hAnsi="Times New Roman"/>
          <w:bCs/>
        </w:rPr>
        <w:t xml:space="preserve"> сельсовета </w:t>
      </w:r>
      <w:proofErr w:type="spellStart"/>
      <w:r w:rsidRPr="00516D51">
        <w:rPr>
          <w:rFonts w:ascii="Times New Roman" w:hAnsi="Times New Roman"/>
          <w:bCs/>
        </w:rPr>
        <w:t>Суджанского</w:t>
      </w:r>
      <w:proofErr w:type="spellEnd"/>
      <w:r w:rsidRPr="00516D51">
        <w:rPr>
          <w:rFonts w:ascii="Times New Roman" w:hAnsi="Times New Roman"/>
          <w:bCs/>
        </w:rPr>
        <w:t xml:space="preserve"> района Курской области от 29.01.2021г. № 5)</w:t>
      </w:r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gramEnd"/>
            <w:r w:rsidRPr="00BC7528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коррупциогенных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факторов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март, апрель 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 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BC7528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апрель, май </w:t>
            </w: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</w:tr>
      <w:tr w:rsidR="00B67575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противодействии коррупции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>
              <w:rPr>
                <w:rFonts w:ascii="Times New Roman" w:eastAsia="Calibri" w:hAnsi="Times New Roman"/>
              </w:rPr>
              <w:t xml:space="preserve">1 квартала </w:t>
            </w: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Конкурсы </w:t>
            </w:r>
            <w:proofErr w:type="gramStart"/>
            <w:r w:rsidRPr="00BC7528">
              <w:rPr>
                <w:rFonts w:ascii="Times New Roman" w:eastAsia="Calibri" w:hAnsi="Times New Roman"/>
              </w:rPr>
              <w:t>на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B67575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Антикоррупционные мероприятия, направленные на создание благоприятных условий для развития экономики </w:t>
            </w:r>
          </w:p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закупок,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согласно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B67575" w:rsidRPr="00BC7528" w:rsidTr="00516D5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B67575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B67575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B6757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</w:t>
            </w:r>
            <w:r w:rsidRPr="00BC7528">
              <w:rPr>
                <w:rFonts w:ascii="Times New Roman" w:eastAsia="Calibri" w:hAnsi="Times New Roman"/>
              </w:rPr>
              <w:lastRenderedPageBreak/>
              <w:t>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Воробжанского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В.Гусев</w:t>
      </w:r>
      <w:bookmarkStart w:id="0" w:name="_GoBack"/>
      <w:bookmarkEnd w:id="0"/>
      <w:proofErr w:type="spellEnd"/>
    </w:p>
    <w:sectPr w:rsidR="00516D51" w:rsidRPr="00BC7528" w:rsidSect="00516D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0F" w:rsidRDefault="007E030F">
      <w:r>
        <w:separator/>
      </w:r>
    </w:p>
  </w:endnote>
  <w:endnote w:type="continuationSeparator" w:id="0">
    <w:p w:rsidR="007E030F" w:rsidRDefault="007E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0F" w:rsidRDefault="007E030F">
      <w:r>
        <w:separator/>
      </w:r>
    </w:p>
  </w:footnote>
  <w:footnote w:type="continuationSeparator" w:id="0">
    <w:p w:rsidR="007E030F" w:rsidRDefault="007E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34C80"/>
    <w:rsid w:val="00452C2F"/>
    <w:rsid w:val="00473CAE"/>
    <w:rsid w:val="00484A0C"/>
    <w:rsid w:val="004C3EF9"/>
    <w:rsid w:val="004F75EA"/>
    <w:rsid w:val="00516D51"/>
    <w:rsid w:val="005175FB"/>
    <w:rsid w:val="005237BC"/>
    <w:rsid w:val="00531BA6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8758D"/>
    <w:rsid w:val="007B50FF"/>
    <w:rsid w:val="007E030F"/>
    <w:rsid w:val="00800DEF"/>
    <w:rsid w:val="0080657A"/>
    <w:rsid w:val="00867D24"/>
    <w:rsid w:val="008D29F8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67575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DA4F-3188-4D9E-BDDD-D2D2467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Cw02</cp:lastModifiedBy>
  <cp:revision>11</cp:revision>
  <cp:lastPrinted>2021-01-29T09:04:00Z</cp:lastPrinted>
  <dcterms:created xsi:type="dcterms:W3CDTF">2021-12-20T14:00:00Z</dcterms:created>
  <dcterms:modified xsi:type="dcterms:W3CDTF">2023-03-30T06:43:00Z</dcterms:modified>
</cp:coreProperties>
</file>